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68" w:rsidRDefault="00AF3F68" w:rsidP="00AF3F68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WYMAGANIA OFERTOWE</w:t>
      </w:r>
      <w:r>
        <w:rPr>
          <w:rFonts w:cs="Arial"/>
          <w:b/>
        </w:rPr>
        <w:t xml:space="preserve"> wg </w:t>
      </w:r>
    </w:p>
    <w:p w:rsidR="00AF3F68" w:rsidRDefault="00AF3F68" w:rsidP="00AF3F68">
      <w:pPr>
        <w:pStyle w:val="Bezodstpw"/>
        <w:jc w:val="center"/>
        <w:rPr>
          <w:rFonts w:cs="Arial"/>
          <w:b/>
        </w:rPr>
      </w:pPr>
    </w:p>
    <w:p w:rsidR="00AF3F68" w:rsidRPr="00E45D41" w:rsidRDefault="00AF3F68" w:rsidP="00AF3F68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45D41">
        <w:rPr>
          <w:rFonts w:asciiTheme="minorHAnsi" w:hAnsiTheme="minorHAnsi" w:cstheme="minorHAnsi"/>
          <w:spacing w:val="40"/>
          <w:sz w:val="22"/>
          <w:szCs w:val="22"/>
        </w:rPr>
        <w:t>REGULAMIN</w:t>
      </w:r>
      <w:r>
        <w:rPr>
          <w:rFonts w:asciiTheme="minorHAnsi" w:hAnsiTheme="minorHAnsi" w:cstheme="minorHAnsi"/>
          <w:spacing w:val="40"/>
          <w:sz w:val="22"/>
          <w:szCs w:val="22"/>
        </w:rPr>
        <w:t>U</w:t>
      </w:r>
    </w:p>
    <w:p w:rsidR="00AF3F68" w:rsidRPr="00E45D41" w:rsidRDefault="00AF3F68" w:rsidP="00AF3F68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:rsidR="00AF3F68" w:rsidRPr="00E45D41" w:rsidRDefault="00AF3F68" w:rsidP="00AF3F68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:rsidR="00D9213F" w:rsidRPr="003D39D5" w:rsidRDefault="00D9213F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:rsidR="00D9213F" w:rsidRPr="003D39D5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0575BA" w:rsidRPr="003D39D5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>z</w:t>
      </w:r>
      <w:r w:rsidR="00D9213F" w:rsidRPr="003D39D5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D39D5">
        <w:rPr>
          <w:rFonts w:eastAsia="Times New Roman" w:cstheme="minorHAnsi"/>
          <w:b/>
          <w:bCs/>
          <w:lang w:eastAsia="pl-PL"/>
        </w:rPr>
        <w:t xml:space="preserve">w postępowaniu </w:t>
      </w:r>
      <w:r w:rsidR="00F96EF2" w:rsidRPr="003D39D5">
        <w:rPr>
          <w:rFonts w:eastAsia="Times New Roman" w:cstheme="minorHAnsi"/>
          <w:b/>
          <w:bCs/>
          <w:lang w:eastAsia="pl-PL"/>
        </w:rPr>
        <w:t>0</w:t>
      </w:r>
      <w:r w:rsidR="00844652">
        <w:rPr>
          <w:rFonts w:eastAsia="Times New Roman" w:cstheme="minorHAnsi"/>
          <w:b/>
          <w:bCs/>
          <w:lang w:eastAsia="pl-PL"/>
        </w:rPr>
        <w:t>2</w:t>
      </w:r>
      <w:r w:rsidR="008E340C" w:rsidRPr="003D39D5">
        <w:rPr>
          <w:rFonts w:eastAsia="Times New Roman" w:cstheme="minorHAnsi"/>
          <w:b/>
          <w:bCs/>
          <w:lang w:eastAsia="pl-PL"/>
        </w:rPr>
        <w:t>_20</w:t>
      </w:r>
      <w:r w:rsidR="00F96EF2" w:rsidRPr="003D39D5">
        <w:rPr>
          <w:rFonts w:eastAsia="Times New Roman" w:cstheme="minorHAnsi"/>
          <w:b/>
          <w:bCs/>
          <w:lang w:eastAsia="pl-PL"/>
        </w:rPr>
        <w:t>20</w:t>
      </w:r>
      <w:r w:rsidR="008E340C" w:rsidRPr="003D39D5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3D39D5">
        <w:rPr>
          <w:rFonts w:eastAsia="Times New Roman" w:cstheme="minorHAnsi"/>
          <w:b/>
          <w:bCs/>
          <w:lang w:eastAsia="pl-PL"/>
        </w:rPr>
        <w:t>o:</w:t>
      </w:r>
    </w:p>
    <w:p w:rsidR="003D39D5" w:rsidRPr="003D39D5" w:rsidRDefault="00844652" w:rsidP="00844652">
      <w:pPr>
        <w:shd w:val="clear" w:color="auto" w:fill="FFFFFF"/>
        <w:ind w:firstLine="708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wykonanie </w:t>
      </w:r>
      <w:r w:rsidR="003D39D5" w:rsidRPr="003D39D5">
        <w:rPr>
          <w:rFonts w:eastAsia="Times New Roman" w:cstheme="minorHAnsi"/>
          <w:b/>
          <w:lang w:eastAsia="pl-PL"/>
        </w:rPr>
        <w:t>zadania inwestycyjnego:</w:t>
      </w:r>
    </w:p>
    <w:p w:rsidR="000575BA" w:rsidRPr="007569B4" w:rsidRDefault="003D39D5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3D39D5">
        <w:rPr>
          <w:rFonts w:eastAsia="Times New Roman" w:cstheme="minorHAnsi"/>
          <w:bCs/>
          <w:lang w:eastAsia="pl-PL"/>
        </w:rPr>
        <w:t>„przebudowa placu składowego wraz z infrastrukturą towarzyszącą” na terenie</w:t>
      </w:r>
      <w:r>
        <w:rPr>
          <w:rFonts w:eastAsia="Times New Roman" w:cstheme="minorHAnsi"/>
          <w:bCs/>
          <w:lang w:eastAsia="pl-PL"/>
        </w:rPr>
        <w:t xml:space="preserve"> </w:t>
      </w:r>
      <w:proofErr w:type="spellStart"/>
      <w:r>
        <w:rPr>
          <w:rFonts w:eastAsia="Times New Roman" w:cstheme="minorHAnsi"/>
          <w:bCs/>
          <w:lang w:eastAsia="pl-PL"/>
        </w:rPr>
        <w:t>Euroterminal</w:t>
      </w:r>
      <w:proofErr w:type="spellEnd"/>
      <w:r>
        <w:rPr>
          <w:rFonts w:eastAsia="Times New Roman" w:cstheme="minorHAnsi"/>
          <w:bCs/>
          <w:lang w:eastAsia="pl-PL"/>
        </w:rPr>
        <w:t xml:space="preserve"> Sławków Sp. z o.o. ul. Groniec 1, 41-260 Sławków – zgodnie z decyzją Starosty Będzińskiego numer 581.2019.</w:t>
      </w:r>
    </w:p>
    <w:p w:rsidR="00B32A39" w:rsidRPr="00AA0A85" w:rsidRDefault="00B32A39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B32A39" w:rsidRPr="007569B4" w:rsidRDefault="00B32A39" w:rsidP="00AA0A85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7569B4">
        <w:rPr>
          <w:rFonts w:asciiTheme="minorHAnsi" w:hAnsiTheme="minorHAnsi"/>
          <w:b/>
          <w:bCs/>
          <w:sz w:val="22"/>
          <w:szCs w:val="22"/>
        </w:rPr>
        <w:t xml:space="preserve">Zakres </w:t>
      </w:r>
      <w:r w:rsidR="006B4EE3" w:rsidRPr="007569B4">
        <w:rPr>
          <w:rFonts w:asciiTheme="minorHAnsi" w:hAnsiTheme="minorHAnsi"/>
          <w:b/>
          <w:bCs/>
          <w:sz w:val="22"/>
          <w:szCs w:val="22"/>
        </w:rPr>
        <w:t xml:space="preserve">podstawowych </w:t>
      </w:r>
      <w:r w:rsidRPr="007569B4">
        <w:rPr>
          <w:rFonts w:asciiTheme="minorHAnsi" w:hAnsiTheme="minorHAnsi"/>
          <w:b/>
          <w:bCs/>
          <w:sz w:val="22"/>
          <w:szCs w:val="22"/>
        </w:rPr>
        <w:t>oczekiwań</w:t>
      </w:r>
      <w:r w:rsidR="00D6006D">
        <w:rPr>
          <w:rFonts w:asciiTheme="minorHAnsi" w:hAnsiTheme="minorHAnsi"/>
          <w:b/>
          <w:bCs/>
          <w:sz w:val="22"/>
          <w:szCs w:val="22"/>
        </w:rPr>
        <w:t xml:space="preserve"> postępowania</w:t>
      </w:r>
      <w:r w:rsidRPr="007569B4">
        <w:rPr>
          <w:rFonts w:asciiTheme="minorHAnsi" w:hAnsiTheme="minorHAnsi"/>
          <w:bCs/>
          <w:sz w:val="22"/>
          <w:szCs w:val="22"/>
        </w:rPr>
        <w:t>:</w:t>
      </w:r>
    </w:p>
    <w:p w:rsidR="00B32A39" w:rsidRPr="007569B4" w:rsidRDefault="00B32A39" w:rsidP="00AA0A85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3D39D5" w:rsidRPr="003D39D5" w:rsidRDefault="007569B4" w:rsidP="003D39D5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eastAsia="Times New Roman" w:cstheme="minorHAnsi"/>
          <w:b/>
          <w:lang w:eastAsia="pl-PL"/>
        </w:rPr>
      </w:pPr>
      <w:r w:rsidRPr="003D39D5">
        <w:rPr>
          <w:rFonts w:eastAsia="Calibri" w:cs="Times New Roman"/>
        </w:rPr>
        <w:t xml:space="preserve">przedmiotem </w:t>
      </w:r>
      <w:r w:rsidR="003D39D5" w:rsidRPr="003D39D5">
        <w:rPr>
          <w:rFonts w:eastAsia="Calibri" w:cs="Times New Roman"/>
        </w:rPr>
        <w:t xml:space="preserve">postępowania </w:t>
      </w:r>
      <w:r w:rsidRPr="003D39D5">
        <w:rPr>
          <w:rFonts w:eastAsia="Calibri" w:cs="Times New Roman"/>
        </w:rPr>
        <w:t xml:space="preserve">jest </w:t>
      </w:r>
      <w:r w:rsidR="00844652">
        <w:rPr>
          <w:rFonts w:eastAsia="Calibri" w:cs="Times New Roman"/>
        </w:rPr>
        <w:t xml:space="preserve">wykonanie </w:t>
      </w:r>
      <w:r w:rsidR="003D39D5" w:rsidRPr="003D39D5">
        <w:rPr>
          <w:rFonts w:eastAsia="Times New Roman" w:cstheme="minorHAnsi"/>
          <w:b/>
          <w:lang w:eastAsia="pl-PL"/>
        </w:rPr>
        <w:t>zadania inwestycyjnego:</w:t>
      </w:r>
    </w:p>
    <w:p w:rsidR="003D39D5" w:rsidRDefault="003D39D5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3D39D5">
        <w:rPr>
          <w:rFonts w:eastAsia="Times New Roman" w:cstheme="minorHAnsi"/>
          <w:bCs/>
          <w:lang w:eastAsia="pl-PL"/>
        </w:rPr>
        <w:t>„przebudowa placu składowego wraz z infrastrukturą towarzyszącą” na terenie</w:t>
      </w:r>
      <w:r>
        <w:rPr>
          <w:rFonts w:eastAsia="Times New Roman" w:cstheme="minorHAnsi"/>
          <w:bCs/>
          <w:lang w:eastAsia="pl-PL"/>
        </w:rPr>
        <w:t xml:space="preserve"> </w:t>
      </w:r>
      <w:proofErr w:type="spellStart"/>
      <w:r>
        <w:rPr>
          <w:rFonts w:eastAsia="Times New Roman" w:cstheme="minorHAnsi"/>
          <w:bCs/>
          <w:lang w:eastAsia="pl-PL"/>
        </w:rPr>
        <w:t>Euroterminal</w:t>
      </w:r>
      <w:proofErr w:type="spellEnd"/>
      <w:r>
        <w:rPr>
          <w:rFonts w:eastAsia="Times New Roman" w:cstheme="minorHAnsi"/>
          <w:bCs/>
          <w:lang w:eastAsia="pl-PL"/>
        </w:rPr>
        <w:t xml:space="preserve"> Sławków Sp. z o.o. ul. Groniec 1, 41-260 Sławków – zgodnie z decyzją Starosty Będzińskiego numer 581.2019.</w:t>
      </w:r>
    </w:p>
    <w:p w:rsidR="003D39D5" w:rsidRDefault="003D39D5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 skład zadania inwestycyjnego wchodzą:</w:t>
      </w:r>
    </w:p>
    <w:p w:rsidR="003D39D5" w:rsidRDefault="003D39D5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-utwardzenie nawierzchni placu składowego</w:t>
      </w:r>
    </w:p>
    <w:p w:rsidR="003D39D5" w:rsidRDefault="003D39D5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-rozbudowa sieci hydrantowej </w:t>
      </w:r>
    </w:p>
    <w:p w:rsidR="003D39D5" w:rsidRDefault="003D39D5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-rozbudowa oświetlenia placu</w:t>
      </w:r>
    </w:p>
    <w:p w:rsidR="003D39D5" w:rsidRDefault="003D39D5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-rozbudowa kanalizacji deszczowej </w:t>
      </w:r>
    </w:p>
    <w:p w:rsidR="003D39D5" w:rsidRPr="007569B4" w:rsidRDefault="003D39D5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na działce o numerze geodezyjnym 1071/15 obręb Niwa </w:t>
      </w:r>
    </w:p>
    <w:p w:rsidR="003D39D5" w:rsidRPr="003D39D5" w:rsidRDefault="003D39D5" w:rsidP="003D39D5">
      <w:pPr>
        <w:pStyle w:val="Akapitzlist"/>
        <w:spacing w:after="160" w:line="259" w:lineRule="auto"/>
        <w:ind w:left="1080"/>
        <w:jc w:val="both"/>
      </w:pPr>
    </w:p>
    <w:p w:rsidR="00E57378" w:rsidRPr="007569B4" w:rsidRDefault="007569B4" w:rsidP="003D39D5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3D39D5">
        <w:rPr>
          <w:rFonts w:eastAsia="Calibri" w:cs="Times New Roman"/>
        </w:rPr>
        <w:t xml:space="preserve">szczegółowy opis Przedmiotu </w:t>
      </w:r>
      <w:r w:rsidR="003D39D5">
        <w:rPr>
          <w:rFonts w:eastAsia="Calibri" w:cs="Times New Roman"/>
        </w:rPr>
        <w:t>postępowania</w:t>
      </w:r>
      <w:r w:rsidR="00D6006D">
        <w:rPr>
          <w:rFonts w:eastAsia="Calibri" w:cs="Times New Roman"/>
        </w:rPr>
        <w:t xml:space="preserve">, </w:t>
      </w:r>
      <w:r w:rsidR="00844652">
        <w:rPr>
          <w:rFonts w:eastAsia="Calibri" w:cs="Times New Roman"/>
        </w:rPr>
        <w:t xml:space="preserve">w tym zakres obowiązków </w:t>
      </w:r>
      <w:r w:rsidR="0035076D">
        <w:rPr>
          <w:rFonts w:eastAsia="Calibri" w:cs="Times New Roman"/>
        </w:rPr>
        <w:t>Wykonawcy</w:t>
      </w:r>
      <w:r w:rsidR="00844652">
        <w:rPr>
          <w:rFonts w:eastAsia="Calibri" w:cs="Times New Roman"/>
        </w:rPr>
        <w:t xml:space="preserve"> </w:t>
      </w:r>
      <w:r w:rsidRPr="003D39D5">
        <w:rPr>
          <w:rFonts w:eastAsia="Calibri" w:cs="Times New Roman"/>
        </w:rPr>
        <w:t>znajduj</w:t>
      </w:r>
      <w:r w:rsidR="00844652">
        <w:rPr>
          <w:rFonts w:eastAsia="Calibri" w:cs="Times New Roman"/>
        </w:rPr>
        <w:t xml:space="preserve">e się w </w:t>
      </w:r>
      <w:r w:rsidRPr="003D39D5">
        <w:rPr>
          <w:rFonts w:eastAsia="Calibri" w:cs="Times New Roman"/>
        </w:rPr>
        <w:t xml:space="preserve">Umowie </w:t>
      </w:r>
      <w:r w:rsidR="003D39D5">
        <w:rPr>
          <w:rFonts w:eastAsia="Calibri" w:cs="Times New Roman"/>
        </w:rPr>
        <w:t xml:space="preserve">– załącznik </w:t>
      </w:r>
      <w:r w:rsidR="00291169">
        <w:rPr>
          <w:rFonts w:eastAsia="Calibri" w:cs="Times New Roman"/>
        </w:rPr>
        <w:t xml:space="preserve">nr </w:t>
      </w:r>
      <w:r w:rsidR="003D39D5">
        <w:rPr>
          <w:rFonts w:eastAsia="Calibri" w:cs="Times New Roman"/>
        </w:rPr>
        <w:t>2</w:t>
      </w:r>
      <w:r w:rsidRPr="003D39D5">
        <w:rPr>
          <w:rFonts w:eastAsia="Calibri" w:cs="Times New Roman"/>
        </w:rPr>
        <w:t xml:space="preserve"> </w:t>
      </w:r>
      <w:r w:rsidR="00844652">
        <w:rPr>
          <w:rFonts w:eastAsia="Calibri" w:cs="Times New Roman"/>
        </w:rPr>
        <w:t>oraz Projekcie Budowalnym (do wglądu).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0A85" w:rsidRPr="0006703A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6703A">
        <w:rPr>
          <w:b/>
        </w:rPr>
        <w:t>Termin realizacji zamówienia</w:t>
      </w:r>
    </w:p>
    <w:p w:rsidR="00AA0A85" w:rsidRDefault="00AA0A85" w:rsidP="00AA0A85">
      <w:pPr>
        <w:pStyle w:val="Akapitzlist"/>
        <w:jc w:val="both"/>
      </w:pPr>
      <w:r>
        <w:lastRenderedPageBreak/>
        <w:t>Umowa na świadczenie powyższych usług zostanie podpisana w terminie 15 dni od dnia rozstrzygnięcia przedmiotowego postępowania</w:t>
      </w:r>
      <w:r w:rsidR="00C03197">
        <w:t>.</w:t>
      </w:r>
    </w:p>
    <w:p w:rsidR="00AA0A85" w:rsidRDefault="00AA0A85" w:rsidP="00AA0A85">
      <w:pPr>
        <w:pStyle w:val="Akapitzlist"/>
        <w:jc w:val="both"/>
      </w:pP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Wymagania podstawowe</w:t>
      </w:r>
      <w:r w:rsidR="00A67B54" w:rsidRPr="00D6006D">
        <w:rPr>
          <w:b/>
          <w:bCs/>
        </w:rPr>
        <w:t>: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>
        <w:t xml:space="preserve"> może złożyć tylko jedną ofertę,</w:t>
      </w:r>
    </w:p>
    <w:p w:rsidR="0035076D" w:rsidRDefault="0035076D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każdy Dostawca musi dokonać wizji lokalnej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:rsidR="00682583" w:rsidRPr="0035076D" w:rsidRDefault="00682583" w:rsidP="00AA0A8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b/>
        </w:rPr>
      </w:pPr>
      <w:r w:rsidRPr="0035076D">
        <w:rPr>
          <w:b/>
        </w:rPr>
        <w:t xml:space="preserve">oferta </w:t>
      </w:r>
      <w:r w:rsidR="00822102" w:rsidRPr="0035076D">
        <w:rPr>
          <w:b/>
        </w:rPr>
        <w:t>musi być ważna do 30.06.2020r.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Forma oferty</w:t>
      </w:r>
      <w:r w:rsidR="00A67B54" w:rsidRPr="00D6006D">
        <w:rPr>
          <w:b/>
          <w:bCs/>
        </w:rPr>
        <w:t>: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lastRenderedPageBreak/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>
        <w:t>,</w:t>
      </w:r>
    </w:p>
    <w:p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:rsidR="00AA0A85" w:rsidRPr="00211C6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:rsidR="00035827" w:rsidRDefault="00AA0A85" w:rsidP="00AA0A85">
      <w:pPr>
        <w:pStyle w:val="Akapitzlist"/>
        <w:jc w:val="both"/>
      </w:pPr>
      <w:r>
        <w:t xml:space="preserve">Ofertę należy złożyć elektronicznie na adres e-mail: </w:t>
      </w:r>
      <w:hyperlink r:id="rId9" w:history="1">
        <w:r w:rsidR="00A67B54" w:rsidRPr="00DA12EF">
          <w:rPr>
            <w:rStyle w:val="Hipercze"/>
          </w:rPr>
          <w:t>zakupy@euterminal.pl</w:t>
        </w:r>
      </w:hyperlink>
      <w:r>
        <w:t xml:space="preserve">, </w:t>
      </w:r>
      <w:r w:rsidR="00A67B54">
        <w:br/>
      </w:r>
      <w:r>
        <w:t xml:space="preserve">w nieprzekraczalnym </w:t>
      </w:r>
      <w:r w:rsidRPr="00AF0536">
        <w:rPr>
          <w:b/>
          <w:bCs/>
        </w:rPr>
        <w:t xml:space="preserve">terminie </w:t>
      </w:r>
      <w:r w:rsidR="0035076D">
        <w:rPr>
          <w:b/>
          <w:bCs/>
        </w:rPr>
        <w:t>04</w:t>
      </w:r>
      <w:r w:rsidRPr="00AF0536">
        <w:rPr>
          <w:b/>
          <w:bCs/>
        </w:rPr>
        <w:t>.</w:t>
      </w:r>
      <w:r w:rsidR="00035827" w:rsidRPr="00AF0536">
        <w:rPr>
          <w:b/>
          <w:bCs/>
        </w:rPr>
        <w:t>0</w:t>
      </w:r>
      <w:r w:rsidR="0035076D">
        <w:rPr>
          <w:b/>
          <w:bCs/>
        </w:rPr>
        <w:t>3</w:t>
      </w:r>
      <w:r w:rsidRPr="00AF0536">
        <w:rPr>
          <w:b/>
          <w:bCs/>
        </w:rPr>
        <w:t>.20</w:t>
      </w:r>
      <w:r w:rsidR="00035827" w:rsidRPr="00AF0536">
        <w:rPr>
          <w:b/>
          <w:bCs/>
        </w:rPr>
        <w:t>20</w:t>
      </w:r>
      <w:r w:rsidR="00AF0536">
        <w:rPr>
          <w:b/>
          <w:bCs/>
        </w:rPr>
        <w:t>r.</w:t>
      </w:r>
    </w:p>
    <w:p w:rsidR="00AA0A85" w:rsidRDefault="00AA0A85" w:rsidP="00AA0A85">
      <w:pPr>
        <w:pStyle w:val="Akapitzlist"/>
        <w:jc w:val="both"/>
      </w:pPr>
      <w:r>
        <w:t xml:space="preserve">Wszelkie dokumenty muszą być podpisane zgodnie z pełnomocnictwem w formacie PDF. </w:t>
      </w:r>
    </w:p>
    <w:p w:rsidR="00035827" w:rsidRDefault="00035827" w:rsidP="00AA0A85">
      <w:pPr>
        <w:pStyle w:val="Akapitzlist"/>
        <w:jc w:val="both"/>
      </w:pPr>
      <w:r>
        <w:t xml:space="preserve">Wszelkie zapytania należy kierować na adres e-mail: </w:t>
      </w:r>
      <w:hyperlink r:id="rId10" w:history="1">
        <w:r w:rsidRPr="004B6698">
          <w:rPr>
            <w:rStyle w:val="Hipercze"/>
          </w:rPr>
          <w:t>k.gorny@euterminal.pl</w:t>
        </w:r>
      </w:hyperlink>
      <w:r>
        <w:t>, tel.</w:t>
      </w:r>
      <w:r w:rsidR="00682583">
        <w:t>607 464 052</w:t>
      </w:r>
    </w:p>
    <w:p w:rsidR="00AA0A85" w:rsidRPr="00342779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 xml:space="preserve">ermin płatności – </w:t>
      </w:r>
      <w:r w:rsidR="00AF0536">
        <w:t>3</w:t>
      </w:r>
      <w:r w:rsidR="00AA0A85">
        <w:t>0 dni</w:t>
      </w:r>
    </w:p>
    <w:p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:rsidR="00885C2E" w:rsidRPr="004D3D7E" w:rsidRDefault="00885C2E" w:rsidP="00885C2E">
      <w:pPr>
        <w:pStyle w:val="Akapitzlist"/>
        <w:spacing w:after="160" w:line="259" w:lineRule="auto"/>
        <w:jc w:val="both"/>
        <w:rPr>
          <w:b/>
        </w:rPr>
      </w:pPr>
    </w:p>
    <w:p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:rsidR="00AA0A85" w:rsidRDefault="00AA0A85" w:rsidP="00AA0A85">
      <w:pPr>
        <w:pStyle w:val="Akapitzlist"/>
        <w:jc w:val="both"/>
      </w:pPr>
      <w:r>
        <w:t>Załącznik nr 2</w:t>
      </w:r>
      <w:r w:rsidR="00B00C93">
        <w:t xml:space="preserve"> –</w:t>
      </w:r>
      <w:r w:rsidR="00035827">
        <w:t xml:space="preserve"> umowa</w:t>
      </w:r>
      <w:r w:rsidR="0035076D">
        <w:t xml:space="preserve"> (</w:t>
      </w:r>
      <w:r>
        <w:t xml:space="preserve">Załącznik nr </w:t>
      </w:r>
      <w:r w:rsidR="0035076D">
        <w:t>4</w:t>
      </w:r>
      <w:r w:rsidR="00B00C93">
        <w:t xml:space="preserve"> – </w:t>
      </w:r>
      <w:r w:rsidR="00035827">
        <w:t>wymagania BHP</w:t>
      </w:r>
      <w:r w:rsidR="0035076D">
        <w:t>, Załącznik nr 5</w:t>
      </w:r>
      <w:r w:rsidR="00B00C93">
        <w:t xml:space="preserve"> – </w:t>
      </w:r>
      <w:r w:rsidR="00035827">
        <w:t>regulamin obiektu</w:t>
      </w:r>
      <w:r w:rsidR="0035076D">
        <w:t>)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76D">
          <w:rPr>
            <w:noProof/>
          </w:rPr>
          <w:t>4</w:t>
        </w:r>
        <w:r>
          <w:fldChar w:fldCharType="end"/>
        </w:r>
      </w:p>
    </w:sdtContent>
  </w:sdt>
  <w:p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0"/>
  </w:num>
  <w:num w:numId="5">
    <w:abstractNumId w:val="15"/>
  </w:num>
  <w:num w:numId="6">
    <w:abstractNumId w:val="17"/>
  </w:num>
  <w:num w:numId="7">
    <w:abstractNumId w:val="2"/>
  </w:num>
  <w:num w:numId="8">
    <w:abstractNumId w:val="18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7"/>
  </w:num>
  <w:num w:numId="17">
    <w:abstractNumId w:val="12"/>
  </w:num>
  <w:num w:numId="18">
    <w:abstractNumId w:val="1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35827"/>
    <w:rsid w:val="000575BA"/>
    <w:rsid w:val="000764A9"/>
    <w:rsid w:val="00116773"/>
    <w:rsid w:val="0015529A"/>
    <w:rsid w:val="00191D17"/>
    <w:rsid w:val="001A5AC1"/>
    <w:rsid w:val="001C711A"/>
    <w:rsid w:val="001F61CA"/>
    <w:rsid w:val="00207E79"/>
    <w:rsid w:val="0024615C"/>
    <w:rsid w:val="002779A7"/>
    <w:rsid w:val="00291169"/>
    <w:rsid w:val="0035076D"/>
    <w:rsid w:val="00367915"/>
    <w:rsid w:val="0039286A"/>
    <w:rsid w:val="003D39D5"/>
    <w:rsid w:val="0041283A"/>
    <w:rsid w:val="00413401"/>
    <w:rsid w:val="00422DC5"/>
    <w:rsid w:val="004F51CF"/>
    <w:rsid w:val="00506A80"/>
    <w:rsid w:val="00546E59"/>
    <w:rsid w:val="00682583"/>
    <w:rsid w:val="006A2B8D"/>
    <w:rsid w:val="006B4EE3"/>
    <w:rsid w:val="007569B4"/>
    <w:rsid w:val="007D1CEF"/>
    <w:rsid w:val="00806D67"/>
    <w:rsid w:val="00822102"/>
    <w:rsid w:val="00844652"/>
    <w:rsid w:val="00885C2E"/>
    <w:rsid w:val="008B28BD"/>
    <w:rsid w:val="008E340C"/>
    <w:rsid w:val="00976358"/>
    <w:rsid w:val="0098678A"/>
    <w:rsid w:val="00A15D0A"/>
    <w:rsid w:val="00A2095E"/>
    <w:rsid w:val="00A572B7"/>
    <w:rsid w:val="00A67B54"/>
    <w:rsid w:val="00AA0A85"/>
    <w:rsid w:val="00AF0536"/>
    <w:rsid w:val="00AF3F68"/>
    <w:rsid w:val="00AF57A7"/>
    <w:rsid w:val="00B00C93"/>
    <w:rsid w:val="00B32A39"/>
    <w:rsid w:val="00BC1693"/>
    <w:rsid w:val="00C03197"/>
    <w:rsid w:val="00C856EE"/>
    <w:rsid w:val="00D6006D"/>
    <w:rsid w:val="00D7327F"/>
    <w:rsid w:val="00D9213F"/>
    <w:rsid w:val="00DC04C5"/>
    <w:rsid w:val="00E21700"/>
    <w:rsid w:val="00E35BA7"/>
    <w:rsid w:val="00E36D2C"/>
    <w:rsid w:val="00E462F4"/>
    <w:rsid w:val="00E57378"/>
    <w:rsid w:val="00EA29EF"/>
    <w:rsid w:val="00EC1245"/>
    <w:rsid w:val="00EE3C16"/>
    <w:rsid w:val="00F22745"/>
    <w:rsid w:val="00F96EF2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F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3F68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F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3F68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.gorny@eutermina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7B48-29D7-4873-A830-7B31A21C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52</cp:revision>
  <dcterms:created xsi:type="dcterms:W3CDTF">2019-07-17T18:56:00Z</dcterms:created>
  <dcterms:modified xsi:type="dcterms:W3CDTF">2020-02-03T20:40:00Z</dcterms:modified>
</cp:coreProperties>
</file>